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59" w:rsidRPr="00BA2DEC" w:rsidRDefault="00206F59" w:rsidP="00206F59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r w:rsidRPr="00BA2DEC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206F59" w:rsidRPr="00BA2DEC" w:rsidRDefault="00206F59" w:rsidP="00206F59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2D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206F59" w:rsidRPr="00431DF1" w:rsidTr="00801A6A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от  29.08.2023 г.протокол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206F59" w:rsidRPr="00BA2DEC" w:rsidRDefault="00206F59" w:rsidP="00801A6A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206F59" w:rsidRPr="00BA2DEC" w:rsidRDefault="00206F59" w:rsidP="00206F59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br/>
        <w:t xml:space="preserve"> ВНЕУРОЧНОЙ ДЕЯТЕЛЬНОСТИ</w:t>
      </w: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ПРОФОРИЕНТАЦИИ «БИЛЕТ В БУДУЩЕЕ»</w:t>
      </w:r>
    </w:p>
    <w:p w:rsidR="00206F59" w:rsidRDefault="003A7234" w:rsidP="003A7234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206F59">
        <w:rPr>
          <w:sz w:val="24"/>
          <w:szCs w:val="24"/>
        </w:rPr>
        <w:t xml:space="preserve"> КЛАСС</w:t>
      </w:r>
    </w:p>
    <w:p w:rsidR="003A7234" w:rsidRDefault="003A7234" w:rsidP="003A7234">
      <w:pPr>
        <w:pStyle w:val="1"/>
        <w:tabs>
          <w:tab w:val="left" w:pos="4774"/>
        </w:tabs>
        <w:spacing w:before="0" w:beforeAutospacing="0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основе: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 w:val="0"/>
          <w:sz w:val="28"/>
          <w:szCs w:val="28"/>
        </w:rPr>
        <w:t>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</w:t>
      </w:r>
    </w:p>
    <w:p w:rsidR="003A7234" w:rsidRDefault="003A7234" w:rsidP="003A7234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3A7234" w:rsidRDefault="003A7234" w:rsidP="003A7234">
      <w:pPr>
        <w:pStyle w:val="1"/>
        <w:tabs>
          <w:tab w:val="left" w:pos="4774"/>
        </w:tabs>
        <w:spacing w:before="0" w:beforeAutospacing="0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206F59" w:rsidRPr="00BA2DEC" w:rsidRDefault="00206F59" w:rsidP="003A723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2DEC">
        <w:rPr>
          <w:rFonts w:ascii="Times New Roman" w:eastAsia="Calibri" w:hAnsi="Times New Roman" w:cs="Times New Roman"/>
          <w:sz w:val="28"/>
          <w:szCs w:val="28"/>
          <w:lang w:eastAsia="en-US"/>
        </w:rPr>
        <w:t>х. Майорский, ул. Магистральная,20</w:t>
      </w:r>
    </w:p>
    <w:p w:rsidR="00206F59" w:rsidRDefault="00206F59" w:rsidP="00206F59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внеурочной деятельности</w:t>
      </w:r>
    </w:p>
    <w:p w:rsidR="00206F59" w:rsidRDefault="00206F59" w:rsidP="00206F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  <w:t>профминимуму</w:t>
      </w:r>
    </w:p>
    <w:p w:rsidR="00810C15" w:rsidRPr="00206F59" w:rsidRDefault="00206F59" w:rsidP="00206F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 Билет в будущее»  7 класс</w:t>
      </w:r>
    </w:p>
    <w:p w:rsidR="00206F59" w:rsidRPr="00566047" w:rsidRDefault="00206F59" w:rsidP="00206F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по профориентации «Билет в будущее» (далее — Программа)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7 класса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206F59" w:rsidRDefault="00206F59" w:rsidP="00206F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047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с целью реализации комплексной и систематической профориентационной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206F59" w:rsidRPr="00BA2DEC" w:rsidRDefault="00206F59" w:rsidP="00206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206F59" w:rsidRPr="00B8541E" w:rsidRDefault="00206F59" w:rsidP="00206F59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 w:rsidRPr="00BA2DEC">
        <w:rPr>
          <w:rFonts w:ascii="Times New Roman" w:hAnsi="Times New Roman" w:cs="Times New Roman"/>
          <w:sz w:val="24"/>
          <w:szCs w:val="24"/>
        </w:rPr>
        <w:t>-</w:t>
      </w:r>
      <w:r w:rsidRPr="00BA2DEC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Федерального государственного образовательного стандарта </w:t>
      </w:r>
      <w:r>
        <w:rPr>
          <w:rFonts w:ascii="Times New Roman" w:eastAsia="Trebuchet MS" w:hAnsi="Times New Roman" w:cs="Times New Roman"/>
          <w:sz w:val="24"/>
          <w:szCs w:val="24"/>
          <w:lang w:eastAsia="en-US"/>
        </w:rPr>
        <w:t>основного</w:t>
      </w: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 общего образования, утвержденного приказом МинпросвещенияРФот 31.05.2021 №287;</w:t>
      </w:r>
    </w:p>
    <w:p w:rsidR="00206F59" w:rsidRPr="00B8541E" w:rsidRDefault="00206F59" w:rsidP="00206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- </w:t>
      </w:r>
      <w:r w:rsidRPr="00B8541E">
        <w:rPr>
          <w:rFonts w:ascii="Times New Roman" w:hAnsi="Times New Roman" w:cs="Times New Roman"/>
          <w:sz w:val="24"/>
          <w:szCs w:val="24"/>
        </w:rPr>
        <w:t xml:space="preserve">Федеральной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B8541E">
        <w:rPr>
          <w:rFonts w:ascii="Times New Roman" w:hAnsi="Times New Roman" w:cs="Times New Roman"/>
          <w:sz w:val="24"/>
          <w:szCs w:val="24"/>
        </w:rPr>
        <w:t>общего образования, утвержденной приказом Минпросвещения от 18.05.2023 № 370;</w:t>
      </w:r>
    </w:p>
    <w:p w:rsidR="00206F59" w:rsidRPr="00BA2DEC" w:rsidRDefault="00206F59" w:rsidP="00206F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206F59" w:rsidRPr="00BA2DEC" w:rsidRDefault="00206F59" w:rsidP="00206F59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206F59" w:rsidRPr="00BA2DEC" w:rsidRDefault="00206F59" w:rsidP="00206F59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 w:rsidRPr="00BA2DEC"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  <w:lang w:eastAsia="en-US"/>
        </w:rPr>
        <w:t xml:space="preserve">Об </w:t>
      </w: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206F59" w:rsidRPr="00BA2DEC" w:rsidRDefault="00206F59" w:rsidP="00206F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DEC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06F59" w:rsidRPr="00566047" w:rsidRDefault="00206F59" w:rsidP="00206F5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6F59" w:rsidRPr="00810C15" w:rsidRDefault="00206F59" w:rsidP="00206F59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206F59" w:rsidRDefault="00206F59" w:rsidP="00206F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lastRenderedPageBreak/>
        <w:tab/>
        <w:t>Согласно учебному плану МБОУ Майорской СОШ на изучение курса «</w:t>
      </w:r>
      <w:r>
        <w:rPr>
          <w:rFonts w:ascii="Times New Roman" w:hAnsi="Times New Roman" w:cs="Times New Roman"/>
          <w:sz w:val="24"/>
          <w:szCs w:val="24"/>
        </w:rPr>
        <w:t>Профминимум</w:t>
      </w:r>
      <w:r>
        <w:rPr>
          <w:rFonts w:ascii="Times New Roman" w:hAnsi="Times New Roman"/>
          <w:kern w:val="2"/>
          <w:sz w:val="24"/>
          <w:szCs w:val="24"/>
        </w:rPr>
        <w:t>» в 7  классе отводится 34 часа,  из расчёта 1 час в неделю</w:t>
      </w:r>
    </w:p>
    <w:p w:rsidR="00566047" w:rsidRDefault="00566047" w:rsidP="0056604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6047" w:rsidRDefault="00810C15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B0D" w:rsidRPr="00566047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566047" w:rsidRPr="00546B0D" w:rsidRDefault="00566047" w:rsidP="00546B0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r w:rsidRPr="00566047">
        <w:rPr>
          <w:rFonts w:ascii="Times New Roman" w:hAnsi="Times New Roman" w:cs="Times New Roman"/>
          <w:sz w:val="24"/>
          <w:szCs w:val="24"/>
        </w:rPr>
        <w:lastRenderedPageBreak/>
        <w:t>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46B0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(подготовка  и участие в профориентационных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Программа способствует развитию личностных, метапредметных и трудовых результатов у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• формирование готовности обучающихся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790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стартового урока):</w:t>
      </w:r>
    </w:p>
    <w:p w:rsidR="00546B0D" w:rsidRPr="00546B0D" w:rsidRDefault="00546B0D" w:rsidP="00546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B0D">
        <w:rPr>
          <w:rFonts w:ascii="Times New Roman" w:eastAsia="Times New Roman" w:hAnsi="Times New Roman" w:cs="Times New Roman"/>
          <w:sz w:val="24"/>
          <w:szCs w:val="24"/>
        </w:rPr>
        <w:t>7 класс: 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</w:t>
      </w:r>
    </w:p>
    <w:p w:rsidR="00546B0D" w:rsidRPr="00546B0D" w:rsidRDefault="00546B0D" w:rsidP="00546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B0D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</w:t>
      </w:r>
      <w:r w:rsidRPr="00546B0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предметах. Формирование представлений о современных компетенциях, которые сегодня предъявляются к специалистам из различных отраслей.</w:t>
      </w:r>
    </w:p>
    <w:p w:rsidR="00546B0D" w:rsidRDefault="00546B0D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  <w:hyperlink r:id="rId7"/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790AB0" w:rsidRPr="00790AB0" w:rsidRDefault="00790AB0" w:rsidP="00EF639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9"/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5. Профориентационная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 w:rsidR="00546B0D">
        <w:rPr>
          <w:rFonts w:ascii="Times New Roman" w:eastAsia="Times New Roman" w:hAnsi="Times New Roman" w:cs="Times New Roman"/>
          <w:sz w:val="24"/>
          <w:szCs w:val="24"/>
          <w:highlight w:val="white"/>
        </w:rPr>
        <w:t>Версия 7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3"/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Профориентационный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546B0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546B0D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B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Тематический профориентационный урок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для 7 класса (рекомендуется проводить после стартового урока):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история, обществознание, физика, биология, информатика и ИКТ, география и другие. 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      </w:r>
          </w:p>
        </w:tc>
        <w:tc>
          <w:tcPr>
            <w:tcW w:w="5386" w:type="dxa"/>
          </w:tcPr>
          <w:p w:rsidR="00546B0D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546B0D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урока обучающиеся будут понимать:</w:t>
            </w:r>
          </w:p>
          <w:p w:rsidR="00546B0D" w:rsidRDefault="00546B0D" w:rsidP="00546B0D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каких предметов необходимо в тех или иных современных профессиях и отраслях;</w:t>
            </w:r>
          </w:p>
          <w:p w:rsidR="00546B0D" w:rsidRDefault="00546B0D" w:rsidP="00546B0D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профессии востребованы сегодня и станут востребованы в будущем;</w:t>
            </w:r>
          </w:p>
          <w:p w:rsidR="00546B0D" w:rsidRDefault="00546B0D" w:rsidP="00546B0D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школа даёт широкий круг знаний и как их можно применить во взрослой профессиональной жизни;</w:t>
            </w:r>
          </w:p>
          <w:p w:rsidR="00546B0D" w:rsidRDefault="00546B0D" w:rsidP="00546B0D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шаги для выбора профессионального пути можно делать учащимся уже сейчас.</w:t>
            </w:r>
          </w:p>
          <w:p w:rsidR="00546B0D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8"/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мероприятиях Проекта с учетом его профессиональных склонностей.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546B0D" w:rsidRDefault="00546B0D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6 класса </w:t>
            </w:r>
          </w:p>
          <w:p w:rsidR="00546B0D" w:rsidRPr="002949BA" w:rsidRDefault="00546B0D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Версия 7 </w:t>
            </w: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546B0D" w:rsidRPr="002949BA" w:rsidRDefault="00546B0D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предусматривает версии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по результатам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3"/>
            <w:hyperlink r:id="rId24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6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т.п.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. Рекомендации по дальнейшим вариантам получения образования, а также перспективным отраслям и 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lastRenderedPageBreak/>
              <w:t>профессиям.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8"/>
            <w:hyperlink r:id="rId2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 рефлексивный урок «Планирую»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Профориентационный рефлексивный урок (проводится в конце курса, по итогам всех проведения профориентационных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случае 8-9 классов и пр.).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для проведения урока доступны на интернет-платформе: </w:t>
            </w:r>
            <w:hyperlink r:id="rId3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на</w:t>
      </w:r>
      <w:r w:rsidR="00751ED9">
        <w:rPr>
          <w:rFonts w:ascii="Times New Roman" w:hAnsi="Times New Roman"/>
          <w:b/>
          <w:sz w:val="24"/>
          <w:szCs w:val="24"/>
        </w:rPr>
        <w:t>правлению, «Профмининимум»</w:t>
      </w:r>
    </w:p>
    <w:p w:rsidR="00F30CCF" w:rsidRDefault="00546B0D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7</w:t>
      </w:r>
      <w:r w:rsidR="00F30CCF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751ED9">
        <w:rPr>
          <w:rFonts w:ascii="Times New Roman" w:hAnsi="Times New Roman"/>
          <w:b/>
          <w:sz w:val="24"/>
          <w:szCs w:val="24"/>
        </w:rPr>
        <w:t>223-2024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 выставка «Лаборатория 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CD0707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за курс 7 </w:t>
            </w:r>
            <w:r w:rsidR="00F30CCF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41693D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93D" w:rsidRDefault="0041693D" w:rsidP="00810C15">
      <w:pPr>
        <w:spacing w:after="0" w:line="240" w:lineRule="auto"/>
      </w:pPr>
      <w:r>
        <w:separator/>
      </w:r>
    </w:p>
  </w:endnote>
  <w:endnote w:type="continuationSeparator" w:id="1">
    <w:p w:rsidR="0041693D" w:rsidRDefault="0041693D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217B64" w:rsidRPr="00217B64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217B64" w:rsidRPr="00217B64">
          <w:rPr>
            <w:rFonts w:cs="Times New Roman"/>
            <w:b/>
          </w:rPr>
          <w:fldChar w:fldCharType="separate"/>
        </w:r>
        <w:r w:rsidR="003A7234" w:rsidRPr="003A7234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</w:t>
        </w:r>
        <w:r w:rsidR="00217B64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93D" w:rsidRDefault="0041693D" w:rsidP="00810C15">
      <w:pPr>
        <w:spacing w:after="0" w:line="240" w:lineRule="auto"/>
      </w:pPr>
      <w:r>
        <w:separator/>
      </w:r>
    </w:p>
  </w:footnote>
  <w:footnote w:type="continuationSeparator" w:id="1">
    <w:p w:rsidR="0041693D" w:rsidRDefault="0041693D" w:rsidP="0081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C15"/>
    <w:rsid w:val="000B1EF6"/>
    <w:rsid w:val="001070B8"/>
    <w:rsid w:val="0015285B"/>
    <w:rsid w:val="00206F59"/>
    <w:rsid w:val="00217B64"/>
    <w:rsid w:val="002949BA"/>
    <w:rsid w:val="003A7234"/>
    <w:rsid w:val="0041693D"/>
    <w:rsid w:val="00546B0D"/>
    <w:rsid w:val="00566047"/>
    <w:rsid w:val="00751ED9"/>
    <w:rsid w:val="00790AB0"/>
    <w:rsid w:val="00810C15"/>
    <w:rsid w:val="00841A4E"/>
    <w:rsid w:val="00877FBA"/>
    <w:rsid w:val="00B72B78"/>
    <w:rsid w:val="00C77F91"/>
    <w:rsid w:val="00C94952"/>
    <w:rsid w:val="00CD0707"/>
    <w:rsid w:val="00F30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5309</Words>
  <Characters>30263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Татьяна</cp:lastModifiedBy>
  <cp:revision>14</cp:revision>
  <dcterms:created xsi:type="dcterms:W3CDTF">2023-08-14T08:56:00Z</dcterms:created>
  <dcterms:modified xsi:type="dcterms:W3CDTF">2023-09-26T17:07:00Z</dcterms:modified>
</cp:coreProperties>
</file>